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CBD46" w14:textId="77777777" w:rsidR="00292D24" w:rsidRPr="00292D24" w:rsidRDefault="00292D24" w:rsidP="00292D24">
      <w:pPr>
        <w:spacing w:after="0" w:line="240" w:lineRule="auto"/>
        <w:rPr>
          <w:rFonts w:ascii="Times New Roman" w:eastAsia="Cambria" w:hAnsi="Times New Roman" w:cs="Cambria"/>
          <w:sz w:val="28"/>
          <w:szCs w:val="28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292D24" w:rsidRPr="00292D24" w14:paraId="057B4B46" w14:textId="77777777" w:rsidTr="00261D00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14:paraId="0475D7A9" w14:textId="77777777" w:rsidR="00292D24" w:rsidRPr="00292D24" w:rsidRDefault="00292D24" w:rsidP="00292D2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292D24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5E9B2064" wp14:editId="00367CB1">
                  <wp:simplePos x="0" y="0"/>
                  <wp:positionH relativeFrom="margin">
                    <wp:posOffset>3302635</wp:posOffset>
                  </wp:positionH>
                  <wp:positionV relativeFrom="paragraph">
                    <wp:posOffset>28575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7DF2ED5" w14:textId="77777777" w:rsidR="00292D24" w:rsidRPr="00292D24" w:rsidRDefault="00292D24" w:rsidP="00292D2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14:paraId="08148350" w14:textId="77777777" w:rsidR="00292D24" w:rsidRPr="00292D24" w:rsidRDefault="00292D24" w:rsidP="00292D2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14:paraId="15FE570D" w14:textId="77777777" w:rsidR="00292D24" w:rsidRPr="00292D24" w:rsidRDefault="00292D24" w:rsidP="00292D24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</w:pPr>
            <w:r w:rsidRPr="00292D24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14:paraId="595E5008" w14:textId="77777777" w:rsidR="00292D24" w:rsidRPr="00292D24" w:rsidRDefault="00292D24" w:rsidP="00292D2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292D24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інтеграції України до Європейського Союзу</w:t>
            </w:r>
          </w:p>
          <w:p w14:paraId="12313999" w14:textId="77777777" w:rsidR="00292D24" w:rsidRPr="00292D24" w:rsidRDefault="00292D24" w:rsidP="00292D24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</w:pPr>
            <w:r w:rsidRPr="00292D24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292D24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292D24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.: 255-34-42, факс: 255-33-13, e-mail: comeuroint@v.rada.gov.ua</w:t>
            </w:r>
          </w:p>
        </w:tc>
      </w:tr>
    </w:tbl>
    <w:p w14:paraId="660361BE" w14:textId="77777777" w:rsidR="00292D24" w:rsidRDefault="00292D24" w:rsidP="008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C9A166" w14:textId="77777777" w:rsidR="008743CA" w:rsidRPr="008743CA" w:rsidRDefault="008743CA" w:rsidP="008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РІШЕННЯ</w:t>
      </w:r>
    </w:p>
    <w:p w14:paraId="144184B3" w14:textId="77777777" w:rsidR="008743CA" w:rsidRPr="008743CA" w:rsidRDefault="008743CA" w:rsidP="008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14:paraId="308C74CF" w14:textId="77777777" w:rsidR="008743CA" w:rsidRPr="008743CA" w:rsidRDefault="008743CA" w:rsidP="00874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Комітету Верховної Ради України з</w:t>
      </w:r>
    </w:p>
    <w:p w14:paraId="176A025E" w14:textId="77777777" w:rsidR="008743CA" w:rsidRPr="008743CA" w:rsidRDefault="008743CA" w:rsidP="00874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питань інтеграції України до Європейського Союзу,</w:t>
      </w:r>
    </w:p>
    <w:p w14:paraId="58E98978" w14:textId="77777777" w:rsidR="008743CA" w:rsidRPr="008743CA" w:rsidRDefault="008743CA" w:rsidP="00874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24B98B6" w14:textId="77777777" w:rsidR="008743CA" w:rsidRPr="008743CA" w:rsidRDefault="008743CA" w:rsidP="008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прийняте на Виїзному засіданні 16 вересня 2021 року</w:t>
      </w:r>
    </w:p>
    <w:p w14:paraId="792E48F8" w14:textId="77777777" w:rsidR="008743CA" w:rsidRPr="008743CA" w:rsidRDefault="008743CA" w:rsidP="00874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FB23D8A" w14:textId="77777777" w:rsidR="008743CA" w:rsidRPr="008743CA" w:rsidRDefault="008743CA" w:rsidP="0087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Комітет Верховної Ради України з питань інтеграції України до Європейського Союзу, розглянувши у рамках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виїзного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засідання питання інтегрованого управління кордонами, реформування митної системи та транскордонної співпраці, </w:t>
      </w:r>
      <w:r w:rsidRPr="008743C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 и р і ш и в</w:t>
      </w:r>
      <w:r w:rsidRPr="008743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14:paraId="73EFC340" w14:textId="77777777" w:rsidR="008743CA" w:rsidRPr="008743CA" w:rsidRDefault="008743CA" w:rsidP="00874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14:paraId="502272A6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Стосовно стану виконання Стратегії інтегрованого управління кордонами та підтримк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и</w:t>
      </w:r>
      <w:r w:rsidRPr="008743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з боку ЄС:</w:t>
      </w:r>
    </w:p>
    <w:p w14:paraId="549522A5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14:paraId="785EF3B2" w14:textId="2851F038" w:rsidR="00C6466C" w:rsidRDefault="008743CA" w:rsidP="00C64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інформацію представників Державної прикордонної служби України, Державної митної служби України, Представництва</w:t>
      </w:r>
      <w:r w:rsidR="00516AAF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Європейського Союзу в Україн</w:t>
      </w:r>
      <w:r w:rsidR="00B1783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Консультативної місії ЄС в Україні, представників Міжнародної Організації Міграції щодо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стану виконання Стратегії інтегрованого управління ко</w:t>
      </w:r>
      <w:r w:rsidR="00516AAF">
        <w:rPr>
          <w:rFonts w:ascii="Times New Roman" w:eastAsia="Times New Roman" w:hAnsi="Times New Roman" w:cs="Times New Roman"/>
          <w:sz w:val="26"/>
          <w:szCs w:val="26"/>
          <w:lang w:eastAsia="uk-UA"/>
        </w:rPr>
        <w:t>рдонами та підтримки з боку ЄС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взяти до відома;</w:t>
      </w:r>
    </w:p>
    <w:p w14:paraId="6DB7F91C" w14:textId="77777777" w:rsidR="00C6466C" w:rsidRDefault="00C6466C" w:rsidP="00C6466C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5DC9458" w14:textId="350FF9E8" w:rsidR="008743CA" w:rsidRPr="00C6466C" w:rsidRDefault="008743CA" w:rsidP="00C64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466C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рекомендувати органам виконавчої влади пришвидшити викона</w:t>
      </w:r>
      <w:r w:rsidR="00516AAF">
        <w:rPr>
          <w:rFonts w:ascii="Times New Roman" w:eastAsia="Times New Roman" w:hAnsi="Times New Roman" w:cs="Times New Roman"/>
          <w:sz w:val="26"/>
          <w:szCs w:val="26"/>
          <w:lang w:eastAsia="uk-UA"/>
        </w:rPr>
        <w:t>ння на 2020-2022 роки реалізації</w:t>
      </w:r>
      <w:r w:rsidRPr="00C6466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Стратегії інтегрованого управління кордонами на період до 2025 року;</w:t>
      </w:r>
    </w:p>
    <w:p w14:paraId="3A33C079" w14:textId="77777777" w:rsidR="008743CA" w:rsidRPr="008743CA" w:rsidRDefault="008743CA" w:rsidP="00874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E6BA6E3" w14:textId="77777777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констатувати, що реалізація Стратегії інтегрованого управління кордонами 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відбувається  ще недостатніми темпами, що призводить до проблем  організації процесу перетину кордону, фінансових втрат, екологічної шкоди, погіршення безпеки, періодичної соціальної напруженості, а також створює підґрунтя для посилення корупційних ризиків;</w:t>
      </w:r>
    </w:p>
    <w:p w14:paraId="32EE56DD" w14:textId="77777777" w:rsidR="008743CA" w:rsidRPr="008743CA" w:rsidRDefault="008743CA" w:rsidP="00874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C87349F" w14:textId="49A1513F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рекоменд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увати Кабінету Міністрів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 залученням органів місцевого самоврядування у </w:t>
      </w:r>
      <w:proofErr w:type="spellStart"/>
      <w:r w:rsidR="00960C22">
        <w:rPr>
          <w:rFonts w:ascii="Times New Roman" w:eastAsia="Times New Roman" w:hAnsi="Times New Roman" w:cs="Times New Roman"/>
          <w:sz w:val="26"/>
          <w:szCs w:val="26"/>
          <w:lang w:eastAsia="uk-UA"/>
        </w:rPr>
        <w:t>трьох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місячний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термін провести аудит виконання поточних програм та потреб, на основі якого узгодити їх з Планом заходів з облаштування та модернізації пріоритетних, а також побудови, облаштування та відкриття перспективних  пунктів пропуску на 2021—2023 роки, включно із розробкою чітких планів виконання і забезпеченням достатніх обсягів фінансування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69FABDE2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3536656" w14:textId="01DE80CF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суб’єктам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інтегрованого управління кордонами, зокрема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Міністерству внутрішніх справ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, М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іністерству закордонних справ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Міністерству інфраструктури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Міністерству фінансів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прикордонній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міграційній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Службі безпеки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метою належного  забезпечення реалізації рівня прикордонної безпеки зі збереженням відкритості державного кордону для транскордонного співробітництва, а також для осіб, що подорожують,  посилити  комунікацію та координацію  шляхом належного виконання заходів Стратегічної цілі 5 Стратегії інтегрованого управління кордонами (Запровадження механізму координації діяльності суб’єктів інтегрованого управління кордонами, що забезпечує їх ефективну співпрацю)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4189C5E9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D7A5F39" w14:textId="77A1756D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рекомендувати </w:t>
      </w:r>
      <w:r w:rsidR="002A03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Державній прикордонній службі України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Державній митній службі України</w:t>
      </w:r>
      <w:r w:rsidR="00BD111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2A03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Міністерству закордонних справ України</w:t>
      </w:r>
      <w:r w:rsidR="00BD111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 іншим заінтересованим органам виконавчої влади із залученням місцевого самоврядування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вжити невідкладних заходів щодо покращення роботи діючих пунктів пропуску та відкриття перспективних пунктів пропуску з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рахуванням необхідності оформлення права землекористування</w:t>
      </w:r>
      <w:r w:rsidR="00BD111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набуття статусу замовн</w:t>
      </w:r>
      <w:r w:rsidR="00BD111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ика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активізувати міжнародні перемовини щодо проблемних питань побудови пунктів пропуску</w:t>
      </w:r>
      <w:r w:rsidR="00BD1117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зокрема «</w:t>
      </w:r>
      <w:proofErr w:type="spellStart"/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Дийда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-</w:t>
      </w:r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Берегдароц</w:t>
      </w:r>
      <w:proofErr w:type="spellEnd"/>
      <w:r w:rsidR="00BD1117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»</w:t>
      </w:r>
      <w:r w:rsidR="00BD1117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="00751BE5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«Біла </w:t>
      </w:r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Церква</w:t>
      </w:r>
      <w:r w:rsidR="00751BE5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</w:t>
      </w:r>
      <w:proofErr w:type="spellStart"/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Сігет</w:t>
      </w:r>
      <w:r w:rsidR="00BD1117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proofErr w:type="spellEnd"/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proofErr w:type="spellStart"/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Мармацієй</w:t>
      </w:r>
      <w:proofErr w:type="spellEnd"/>
      <w:r w:rsidR="00BD1117"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»</w:t>
      </w:r>
      <w:r w:rsidR="00BD111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BD1117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BD11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«</w:t>
      </w:r>
      <w:proofErr w:type="spellStart"/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Лубня</w:t>
      </w:r>
      <w:proofErr w:type="spellEnd"/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-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Волосате» та «Велика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Паладь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Нодьгодош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»; відповідним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обласним державним адміністраціям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залученням </w:t>
      </w:r>
      <w:r w:rsidR="002A03D0">
        <w:rPr>
          <w:rFonts w:ascii="Times New Roman" w:eastAsia="Times New Roman" w:hAnsi="Times New Roman" w:cs="Times New Roman"/>
          <w:sz w:val="26"/>
          <w:szCs w:val="26"/>
          <w:lang w:eastAsia="uk-UA"/>
        </w:rPr>
        <w:t>об’єднаних територіальних громад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опрацювати ухвалення рішень щодо розробки детальних планів територій та виділення коштів на проведення цих робіт;</w:t>
      </w:r>
    </w:p>
    <w:p w14:paraId="3AA3F6E8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E4E8162" w14:textId="0C27976A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рекомендувати Кабінету Мі</w:t>
      </w:r>
      <w:r w:rsidR="00F6203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ністрів України включити до </w:t>
      </w:r>
      <w:proofErr w:type="spellStart"/>
      <w:r w:rsidR="00F6203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проє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кту</w:t>
      </w:r>
      <w:proofErr w:type="spellEnd"/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Закону України «Про Державний бюджет України на 2023 рік» пункт щодо виділення коштів на початок будівництва пункту пропуску «</w:t>
      </w:r>
      <w:proofErr w:type="spellStart"/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Дийда-Берегдароц</w:t>
      </w:r>
      <w:proofErr w:type="spellEnd"/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» для автомобільного, пасажирського та вантажного сполучення, відповідно до ст. 13 Угоди між </w:t>
      </w:r>
      <w:r w:rsidR="002A03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Кабінетом Міністрів України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Урядом Угорщини про контроль прикордонного руху в пунктах пропуску через державний кордон для автомобільного та залізничного сполучення від 4 травня 2012 року; </w:t>
      </w:r>
    </w:p>
    <w:p w14:paraId="14C65AE8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89A22A4" w14:textId="08667B25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рекомендувати </w:t>
      </w:r>
      <w:r w:rsidR="002A03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Міністерству інфраструктури України 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вжити невідкладних заходів щодо забезпечення належного стану під’їзних автомобільних доріг до пунктів пропуску, а також повноцінного включення у транс’європейські транспортні мережі;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активізувати роботи у рамках діючих, а також можливого підписання нових договорів зі суміжними країнами про надання кредит</w:t>
      </w:r>
      <w:r w:rsidR="00561AE4">
        <w:rPr>
          <w:rFonts w:ascii="Times New Roman" w:eastAsia="Times New Roman" w:hAnsi="Times New Roman" w:cs="Times New Roman"/>
          <w:sz w:val="26"/>
          <w:szCs w:val="26"/>
          <w:lang w:eastAsia="uk-UA"/>
        </w:rPr>
        <w:t>ів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умовах пов’язаної допомоги;</w:t>
      </w:r>
    </w:p>
    <w:p w14:paraId="6C2FB56F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D504494" w14:textId="569D8979" w:rsidR="008743CA" w:rsidRPr="00751BE5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наголосити на необхідності розробити та ухвалити Положення про типову сервісну зону, яке має </w:t>
      </w:r>
      <w:r w:rsidR="00751BE5"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замінити 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або </w:t>
      </w:r>
      <w:proofErr w:type="spellStart"/>
      <w:r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зміни 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в</w:t>
      </w:r>
      <w:r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Положення про зону  сервісного обслуговування осіб і транспортних засобів перед  пунктами пропуску через державний кордон для міжнародного та міждержавного автомобільного сполучення, ухвалене Наказом </w:t>
      </w:r>
      <w:r w:rsidR="001E02A0"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Адміністрації державної прикордонної служби України</w:t>
      </w:r>
      <w:r w:rsidRP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№ 643 від 31.08.2009, та інші пов’язані нормативні акти; зокрема забезпечити усунення розходжень у застосуванні термінології у нормативно-правових актах стосовно  сервісних зон перед кордоном;</w:t>
      </w:r>
    </w:p>
    <w:p w14:paraId="0B63D948" w14:textId="77777777" w:rsidR="008743CA" w:rsidRPr="008743CA" w:rsidRDefault="008743CA" w:rsidP="00874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09347D8" w14:textId="1C93455F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рекомендувати Кабінету Міністрів України розробити та ухвалити нормативні акти, необхідні для запровадження дієвого механізму електронної черги для перетину кордону; у разі потреби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розгляд Верхов</w:t>
      </w:r>
      <w:r w:rsidR="00F6203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ної Ради України відповідні </w:t>
      </w:r>
      <w:proofErr w:type="spellStart"/>
      <w:r w:rsidR="00F6203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кти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законів; з огляду на неприпустимість монополізації необґрунтованого, додаткового, фінансового навантаження, рекомендувати </w:t>
      </w:r>
      <w:r w:rsidR="00561AE4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</w:t>
      </w:r>
      <w:bookmarkStart w:id="0" w:name="_GoBack"/>
      <w:bookmarkEnd w:id="0"/>
      <w:r w:rsidR="00561AE4">
        <w:rPr>
          <w:rFonts w:ascii="Times New Roman" w:eastAsia="Times New Roman" w:hAnsi="Times New Roman" w:cs="Times New Roman"/>
          <w:sz w:val="26"/>
          <w:szCs w:val="26"/>
          <w:lang w:eastAsia="uk-UA"/>
        </w:rPr>
        <w:t>ству інфраструктури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561A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взаємодії з Державною митною службою України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опрацювати з перевізниками реалізацію пілотного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проєкту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запровадження електронної черги;</w:t>
      </w:r>
    </w:p>
    <w:p w14:paraId="7D37F525" w14:textId="77777777" w:rsidR="008743CA" w:rsidRPr="008743CA" w:rsidRDefault="008743CA" w:rsidP="00874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6C477D0" w14:textId="76A51FEB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прикордонній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актуалізувати свої потреби у подальшій реалізації  Стратегії інтегрованого управління кордонами та провести консультації з Представництвом ЄС в Україні, Консультативною місією ЄС та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Міжнародною організацією з міграції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щодо продовження фінансування пріоритетних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проєктів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1A354BA5" w14:textId="77777777" w:rsidR="008743CA" w:rsidRPr="008743CA" w:rsidRDefault="008743CA" w:rsidP="00874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9A3ADB2" w14:textId="117FAC82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прикордонній службі України</w:t>
      </w:r>
      <w:r w:rsidR="00F34556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надавати на наявних веб-ресурсах, а у перспективі на єдиному веб-порталі, в режимі реального часу актуальну та доступну інформацію про стан справ на кордоні для ухвалення рішень щодо подорожі, зокрема завантаженості пунктів пропуску та статистики перетину кордонів;</w:t>
      </w:r>
    </w:p>
    <w:p w14:paraId="674B3458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B23F407" w14:textId="2CC79F40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заслухати у грудні 2021 року в рамках засідання Комітету з питань інтеграції України до Європейського Союзу звіт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Державної прикордонної служби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Державної митної служби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F3455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Міністерства інфраструктури України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та інших заінтересованих органів державної влади щодо виконання вищезазначених завдань.</w:t>
      </w:r>
    </w:p>
    <w:p w14:paraId="3D558523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4E16C54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Стосовно реформування митної системи відповідно до норм ЄС: </w:t>
      </w:r>
    </w:p>
    <w:p w14:paraId="27059979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CDD9153" w14:textId="04B4A37E" w:rsid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інформацію представників Міністерства фінансів України, </w:t>
      </w:r>
      <w:r w:rsidR="00F3455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Державної міграційної служби України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F3455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Державної прикордонної служби України</w:t>
      </w:r>
      <w:r w:rsidRPr="008743C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представників неурядового сектору щодо спільного контролю та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реформування митної системи відповідно до норм ЄС, взяти до відома;</w:t>
      </w:r>
    </w:p>
    <w:p w14:paraId="7B1CD2DF" w14:textId="77777777" w:rsid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BD2BE48" w14:textId="74AFBE05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наголосити на тому, що станом на сьогодні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прогрес із впровадженням спільного контрою зі суміжними країнами є незадовільним; у зв’язку з цим, вжити невідкладних заходів, зокрема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рамках перемовин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щодо оновлення Угоди про асоціацію та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щодо залучення Європейської Комісії до консультацій з питань спільного контролю;</w:t>
      </w:r>
    </w:p>
    <w:p w14:paraId="7EDAA100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45F7CD4" w14:textId="60656D5C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вжити невідкладних заходів для  зменшення тривалості перевірок митними органами та вдосконалення системи отримання направлених запитів до митних органів суміжних країн; залучити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Міністерство закордонних справ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 виконання цього завдання;</w:t>
      </w:r>
    </w:p>
    <w:p w14:paraId="7E44A65B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AAEECFE" w14:textId="4B06633E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опрацювати можливість запуску системи пост-митного аудиту з метою скорочення часу на проходження митних процедур на кордоні;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Міністерству закордонних справ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України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провести додаткові консультації з відповідними структурами Словацької Республіки щодо підвищення ефективності та швидкості проведення митного контролю словацькими органами в пункті пропуску «Ужгород  - Вишнє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Нємецьке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»</w:t>
      </w:r>
    </w:p>
    <w:p w14:paraId="13C69089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3A39D74" w14:textId="0B2976D2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вжити невідкладних заходів для повноцінного застосування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скануючих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систем на пріоритетних пунктах пропуску, зокрема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отримання дозволів на експлуатацію;</w:t>
      </w:r>
    </w:p>
    <w:p w14:paraId="76DC4221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AE1E7C4" w14:textId="41C2EC06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Міністерству фінансів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забезпечити запровадження  усього функціоналу, передбаченого приєднанням України до  системи спільного транзиту (NCTS), а також створення технічних можливостей для його застосування;</w:t>
      </w:r>
    </w:p>
    <w:p w14:paraId="47854D1A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FEBC4DF" w14:textId="154FBA76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Державній митній службі України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опрацювати можливість прискореного переходу на митну декларацію T1UA, що передбачено процедурою спільного транзиту;</w:t>
      </w:r>
    </w:p>
    <w:p w14:paraId="72EC8476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6A2A0D2" w14:textId="77777777" w:rsid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рекомендувати Кабінету Міністрів України врахувати необхідність інтенсифікації обміну митною інформацією, зокрема у вигляді спільного використання високотехнологічних засобів митного контролю та обміну результатами їх застосування, у процесі оновлення Угоди про асоціацію;</w:t>
      </w:r>
    </w:p>
    <w:p w14:paraId="58007F2A" w14:textId="77777777" w:rsidR="00A00B67" w:rsidRDefault="00A00B67" w:rsidP="00A00B67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61B573C" w14:textId="19303B2B" w:rsidR="00A00B67" w:rsidRPr="00A00B67" w:rsidRDefault="00A00B67" w:rsidP="00A00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Кабінету Міністрів України опрацювати питання щодо </w:t>
      </w:r>
      <w:r w:rsidRPr="00A00B67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надання митним органам України права на оперативно-розшукову діяльність (ОРД) з метою покращення протидії та виявлення порушень митного законодавства, які становлять загрозу економічним, соціальним і фіскальним інтересам держави та законним інтересам торгівлі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та, у разі необхідності,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розгляд Верховної Ради України відповідні законодавчі пропозиції;</w:t>
      </w:r>
    </w:p>
    <w:p w14:paraId="01EE5EA2" w14:textId="77777777" w:rsidR="00A00B67" w:rsidRPr="008743CA" w:rsidRDefault="00A00B67" w:rsidP="00A00B67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7DB750D" w14:textId="31AAD50D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заслухати у лютому 2022 року в рамках засідання Комітету з питань інтеграції України до Європейського Союзу звіт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Міністерства фінансів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Державної митної служби України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та інших заінтересованих органів державної влади щодо виконання вищезазначених завдань.</w:t>
      </w:r>
    </w:p>
    <w:p w14:paraId="592641A6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BB1538C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CDEFE52" w14:textId="77777777" w:rsidR="008743CA" w:rsidRPr="008743CA" w:rsidRDefault="008743CA" w:rsidP="0087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Стосовно стану реалізації транскордонного співробітництва та </w:t>
      </w:r>
      <w:proofErr w:type="spellStart"/>
      <w:r w:rsidRPr="008743C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залученості</w:t>
      </w:r>
      <w:proofErr w:type="spellEnd"/>
      <w:r w:rsidRPr="008743C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Закарпаття: </w:t>
      </w:r>
    </w:p>
    <w:p w14:paraId="21CF6F2D" w14:textId="77777777" w:rsidR="008743CA" w:rsidRPr="008743CA" w:rsidRDefault="008743CA" w:rsidP="00874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DE8CD97" w14:textId="05EF339E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інформацію представників Міністерства розвитку громад та територій України, Закарпатської обласної ради, Закарпатської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обласної 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державної адміністрації та представників неурядового сектору щодо реалізації транскордонного співробітн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ицтва та </w:t>
      </w:r>
      <w:proofErr w:type="spellStart"/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залученості</w:t>
      </w:r>
      <w:proofErr w:type="spellEnd"/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Закарпаття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взяти до відома;</w:t>
      </w:r>
    </w:p>
    <w:p w14:paraId="5723F531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98242C1" w14:textId="543FADD2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рекомендувати Кабінету Міністрів України з метою вирішення наявних проблем щодо реалізації транскордонного співробітництва і вдосконалення нормативно-правової бази у сфері т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ранскордонного співробітництва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розгляд Верховної Ради України зміни до Закону України “Про транскордонне співробітництво”, зокрема законодавчо впорядкувати функціонування європейських об’єднань територіального співробітництва;</w:t>
      </w:r>
    </w:p>
    <w:p w14:paraId="35479372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5F05223" w14:textId="77777777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наголосити на необхідності належної координації та створення механізму надання державної підтримки (на кшталт, Фонду підтримки транскордонного співробітництва, який функціонує в деяких державах-членах ЄС) 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проєктам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транскордонного співробітництва;</w:t>
      </w:r>
    </w:p>
    <w:p w14:paraId="3F8BB466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D9482EC" w14:textId="77777777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рекомендувати заінтересованим міністерствам та відомствам забезпечувати систематичне підвищення кваліфікації державних службовців та посадових осіб місцевого самоврядування, залучених до роботи в рамках транскордонного співробітництва;</w:t>
      </w:r>
    </w:p>
    <w:p w14:paraId="756F77B7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0509B8B" w14:textId="4BD2AE5B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врахувати  важливість розробки оптимального механізму державного сприяння розвитк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єврорегіонів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напрацюванням методичних рекомендацій щодо їх подальшої реорганізації відповідно до практики ЄС;</w:t>
      </w:r>
    </w:p>
    <w:p w14:paraId="3F6C0B46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EF945DC" w14:textId="79D1E0A5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рекомендувати Кабінету Міністрів України на основі аналізу визначення  потреб та пріоритетності </w:t>
      </w:r>
      <w:proofErr w:type="spellStart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ктів</w:t>
      </w:r>
      <w:proofErr w:type="spellEnd"/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транскордонного співробітництва збільшити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їх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фінансування за рахунок Державного бюджету, а також провести консультації з Європейською Комісією щодо можливості та збільшення обсягів фінансування для України та ширшого залучення України до реалізації Дунайської транснаціональної програми та інших програм, що фінансуються Структурними фондами ЄC;</w:t>
      </w:r>
    </w:p>
    <w:p w14:paraId="2BF9E310" w14:textId="77777777" w:rsidR="008743CA" w:rsidRPr="008743CA" w:rsidRDefault="008743CA" w:rsidP="008743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C88A3FF" w14:textId="094EC1F6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заслухати у квітні 2022 року в рамках засідання Комітету з питань інтеграції України до Європейського Союзу звіт </w:t>
      </w:r>
      <w:r w:rsidR="00031E13"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Міністерства розвитку громад та територій України,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031E13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Міністерства фінансів України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інших зацікавлених органів державної влади щодо виконання вищезазначених завдань.</w:t>
      </w:r>
    </w:p>
    <w:p w14:paraId="1108368C" w14:textId="77777777" w:rsidR="008743CA" w:rsidRPr="008743CA" w:rsidRDefault="008743CA" w:rsidP="008743CA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3214239" w14:textId="13982E63" w:rsidR="008743CA" w:rsidRPr="008743CA" w:rsidRDefault="008743CA" w:rsidP="0087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надіслати це Рішення </w:t>
      </w:r>
      <w:r w:rsidR="00751BE5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Керівнику Офісу Президента України,</w:t>
      </w:r>
      <w:r w:rsidRPr="008743C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Прем’єр-міністру України, Голові Верховної Ради України, керівникам профільних міністерств та відомств, профільним комітетам Верховної Ради України. </w:t>
      </w:r>
    </w:p>
    <w:p w14:paraId="2DF64260" w14:textId="77777777" w:rsidR="008743CA" w:rsidRPr="008743CA" w:rsidRDefault="008743CA" w:rsidP="00874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B5D2329" w14:textId="77777777" w:rsidR="008743CA" w:rsidRPr="008743CA" w:rsidRDefault="008743CA" w:rsidP="00874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F1AB4E9" w14:textId="77777777" w:rsidR="00426ECA" w:rsidRDefault="00426ECA"/>
    <w:sectPr w:rsidR="00426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0961"/>
    <w:multiLevelType w:val="hybridMultilevel"/>
    <w:tmpl w:val="E086102E"/>
    <w:lvl w:ilvl="0" w:tplc="81C604B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671BA"/>
    <w:multiLevelType w:val="multilevel"/>
    <w:tmpl w:val="7E40C740"/>
    <w:lvl w:ilvl="0">
      <w:start w:val="1"/>
      <w:numFmt w:val="decimal"/>
      <w:lvlText w:val="%1)"/>
      <w:lvlJc w:val="left"/>
      <w:pPr>
        <w:ind w:left="855" w:hanging="49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9A"/>
    <w:rsid w:val="00031E13"/>
    <w:rsid w:val="001E02A0"/>
    <w:rsid w:val="00292D24"/>
    <w:rsid w:val="002A03D0"/>
    <w:rsid w:val="00426ECA"/>
    <w:rsid w:val="00516AAF"/>
    <w:rsid w:val="00561AE4"/>
    <w:rsid w:val="006F39DD"/>
    <w:rsid w:val="0072749A"/>
    <w:rsid w:val="00751BE5"/>
    <w:rsid w:val="008743CA"/>
    <w:rsid w:val="00960C22"/>
    <w:rsid w:val="00966497"/>
    <w:rsid w:val="00A00B67"/>
    <w:rsid w:val="00B17837"/>
    <w:rsid w:val="00B21B7D"/>
    <w:rsid w:val="00BD1117"/>
    <w:rsid w:val="00C6466C"/>
    <w:rsid w:val="00F34556"/>
    <w:rsid w:val="00F62032"/>
    <w:rsid w:val="00F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1020"/>
  <w15:chartTrackingRefBased/>
  <w15:docId w15:val="{F5BB3E1E-A5E2-4442-96C1-95F467C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7617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Ференс Богдан Володимирович</dc:creator>
  <cp:keywords/>
  <dc:description/>
  <cp:lastModifiedBy>Альона Вікторівна Найденко</cp:lastModifiedBy>
  <cp:revision>9</cp:revision>
  <cp:lastPrinted>2021-09-23T11:38:00Z</cp:lastPrinted>
  <dcterms:created xsi:type="dcterms:W3CDTF">2021-09-22T13:35:00Z</dcterms:created>
  <dcterms:modified xsi:type="dcterms:W3CDTF">2021-09-24T11:00:00Z</dcterms:modified>
</cp:coreProperties>
</file>